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EF465">
      <w:pPr>
        <w:spacing w:before="64" w:line="163" w:lineRule="auto"/>
        <w:ind w:left="286"/>
        <w:rPr>
          <w:rFonts w:ascii="PingFang SC" w:hAnsi="PingFang SC" w:eastAsia="PingFang SC" w:cs="PingFang SC"/>
          <w:sz w:val="31"/>
          <w:szCs w:val="31"/>
          <w:lang w:eastAsia="zh-CN"/>
        </w:rPr>
      </w:pPr>
      <w:r>
        <w:rPr>
          <w:rFonts w:ascii="PingFang SC" w:hAnsi="PingFang SC" w:eastAsia="PingFang SC" w:cs="PingFang SC"/>
          <w:spacing w:val="-4"/>
          <w:sz w:val="31"/>
          <w:szCs w:val="31"/>
          <w:lang w:eastAsia="zh-CN"/>
        </w:rPr>
        <w:t>附件</w:t>
      </w:r>
      <w:r>
        <w:rPr>
          <w:rFonts w:ascii="PingFang SC" w:hAnsi="PingFang SC" w:eastAsia="PingFang SC" w:cs="PingFang SC"/>
          <w:spacing w:val="-17"/>
          <w:sz w:val="31"/>
          <w:szCs w:val="31"/>
          <w:lang w:eastAsia="zh-CN"/>
        </w:rPr>
        <w:t xml:space="preserve"> </w:t>
      </w:r>
      <w:r>
        <w:rPr>
          <w:rFonts w:ascii="PingFang SC" w:hAnsi="PingFang SC" w:eastAsia="PingFang SC" w:cs="PingFang SC"/>
          <w:spacing w:val="-4"/>
          <w:sz w:val="31"/>
          <w:szCs w:val="31"/>
          <w:lang w:eastAsia="zh-CN"/>
        </w:rPr>
        <w:t>4</w:t>
      </w:r>
    </w:p>
    <w:p w14:paraId="1EEF9FA4">
      <w:pPr>
        <w:spacing w:line="218" w:lineRule="auto"/>
        <w:ind w:left="2341"/>
        <w:rPr>
          <w:rFonts w:ascii="PingFang SC" w:hAnsi="PingFang SC" w:eastAsia="PingFang SC" w:cs="PingFang SC"/>
          <w:sz w:val="43"/>
          <w:szCs w:val="43"/>
          <w:lang w:eastAsia="zh-CN"/>
        </w:rPr>
      </w:pPr>
      <w:r>
        <w:rPr>
          <w:rFonts w:ascii="PingFang SC" w:hAnsi="PingFang SC" w:eastAsia="PingFang SC" w:cs="PingFang SC"/>
          <w:spacing w:val="8"/>
          <w:sz w:val="43"/>
          <w:szCs w:val="43"/>
          <w:lang w:eastAsia="zh-CN"/>
        </w:rPr>
        <w:t>中国新闻奖参评作品推荐表</w:t>
      </w:r>
    </w:p>
    <w:p w14:paraId="07A6A598">
      <w:pPr>
        <w:spacing w:before="4" w:line="190" w:lineRule="auto"/>
        <w:ind w:left="3998"/>
        <w:rPr>
          <w:rFonts w:ascii="PingFang SC" w:hAnsi="PingFang SC" w:eastAsia="PingFang SC" w:cs="PingFang SC"/>
          <w:sz w:val="24"/>
          <w:szCs w:val="24"/>
        </w:rPr>
      </w:pPr>
      <w:r>
        <w:rPr>
          <w:rFonts w:ascii="PingFang SC" w:hAnsi="PingFang SC" w:eastAsia="PingFang SC" w:cs="PingFang SC"/>
          <w:b/>
          <w:bCs/>
          <w:spacing w:val="-2"/>
          <w:sz w:val="24"/>
          <w:szCs w:val="24"/>
        </w:rPr>
        <w:t>（报送单位填报）</w:t>
      </w:r>
    </w:p>
    <w:p w14:paraId="7110F0B1">
      <w:pPr>
        <w:spacing w:line="128" w:lineRule="exact"/>
      </w:pPr>
    </w:p>
    <w:tbl>
      <w:tblPr>
        <w:tblStyle w:val="6"/>
        <w:tblW w:w="99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63"/>
        <w:gridCol w:w="348"/>
        <w:gridCol w:w="1497"/>
        <w:gridCol w:w="425"/>
        <w:gridCol w:w="566"/>
        <w:gridCol w:w="427"/>
        <w:gridCol w:w="825"/>
        <w:gridCol w:w="732"/>
        <w:gridCol w:w="991"/>
        <w:gridCol w:w="1554"/>
      </w:tblGrid>
      <w:tr w14:paraId="2FF50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9" w:hRule="atLeast"/>
        </w:trPr>
        <w:tc>
          <w:tcPr>
            <w:tcW w:w="1291" w:type="dxa"/>
          </w:tcPr>
          <w:p w14:paraId="4E490A04">
            <w:pPr>
              <w:pStyle w:val="7"/>
              <w:spacing w:before="93" w:line="322" w:lineRule="exact"/>
              <w:ind w:left="292" w:right="286"/>
            </w:pPr>
            <w:r>
              <w:rPr>
                <w:spacing w:val="-3"/>
                <w:position w:val="1"/>
              </w:rPr>
              <w:t>作品</w:t>
            </w:r>
            <w:r>
              <w:rPr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标题</w:t>
            </w:r>
          </w:p>
        </w:tc>
        <w:tc>
          <w:tcPr>
            <w:tcW w:w="4526" w:type="dxa"/>
            <w:gridSpan w:val="6"/>
          </w:tcPr>
          <w:p w14:paraId="7359C9A7">
            <w:pPr>
              <w:jc w:val="both"/>
              <w:rPr>
                <w:rFonts w:ascii="宋体" w:hAnsi="宋体"/>
                <w:sz w:val="24"/>
                <w:lang w:eastAsia="zh-CN"/>
              </w:rPr>
            </w:pPr>
          </w:p>
          <w:p w14:paraId="703A95D9">
            <w:pPr>
              <w:ind w:firstLine="240" w:firstLineChars="100"/>
              <w:jc w:val="both"/>
              <w:rPr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五次“特区立法”见证两岸融合三十年</w:t>
            </w:r>
          </w:p>
        </w:tc>
        <w:tc>
          <w:tcPr>
            <w:tcW w:w="825" w:type="dxa"/>
          </w:tcPr>
          <w:p w14:paraId="2F0B2B45">
            <w:pPr>
              <w:pStyle w:val="7"/>
              <w:spacing w:before="89" w:line="327" w:lineRule="exact"/>
              <w:ind w:left="136" w:right="130" w:hanging="1"/>
            </w:pPr>
            <w:r>
              <w:rPr>
                <w:spacing w:val="-4"/>
                <w:position w:val="3"/>
              </w:rPr>
              <w:t>参评</w:t>
            </w:r>
            <w:r>
              <w:rPr>
                <w:position w:val="3"/>
              </w:rPr>
              <w:t xml:space="preserve"> </w:t>
            </w:r>
            <w:r>
              <w:rPr>
                <w:spacing w:val="-4"/>
                <w:position w:val="-2"/>
              </w:rPr>
              <w:t>项目</w:t>
            </w:r>
          </w:p>
        </w:tc>
        <w:tc>
          <w:tcPr>
            <w:tcW w:w="3277" w:type="dxa"/>
            <w:gridSpan w:val="3"/>
          </w:tcPr>
          <w:p w14:paraId="5BB45546">
            <w:pPr>
              <w:rPr>
                <w:rFonts w:ascii="宋体" w:hAnsi="宋体" w:cs="宋体"/>
                <w:sz w:val="24"/>
              </w:rPr>
            </w:pPr>
          </w:p>
          <w:p w14:paraId="67C75B61">
            <w:pPr>
              <w:ind w:firstLine="240" w:firstLineChars="100"/>
            </w:pPr>
            <w:r>
              <w:rPr>
                <w:rFonts w:hint="eastAsia" w:ascii="宋体" w:hAnsi="宋体" w:cs="宋体"/>
                <w:sz w:val="24"/>
              </w:rPr>
              <w:t>消息（电视）</w:t>
            </w:r>
          </w:p>
        </w:tc>
      </w:tr>
      <w:tr w14:paraId="295DF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1291" w:type="dxa"/>
            <w:vMerge w:val="restart"/>
            <w:tcBorders>
              <w:bottom w:val="nil"/>
            </w:tcBorders>
          </w:tcPr>
          <w:p w14:paraId="520680B7">
            <w:pPr>
              <w:pStyle w:val="7"/>
              <w:spacing w:before="293" w:line="168" w:lineRule="auto"/>
              <w:ind w:left="312" w:right="286" w:hanging="20"/>
            </w:pPr>
            <w:r>
              <w:rPr>
                <w:spacing w:val="-3"/>
              </w:rPr>
              <w:t>字数</w:t>
            </w:r>
            <w:r>
              <w:t xml:space="preserve"> </w:t>
            </w:r>
            <w:r>
              <w:rPr>
                <w:spacing w:val="-14"/>
              </w:rPr>
              <w:t>时长</w:t>
            </w:r>
          </w:p>
        </w:tc>
        <w:tc>
          <w:tcPr>
            <w:tcW w:w="4526" w:type="dxa"/>
            <w:gridSpan w:val="6"/>
            <w:vMerge w:val="restart"/>
            <w:tcBorders>
              <w:bottom w:val="nil"/>
            </w:tcBorders>
          </w:tcPr>
          <w:p w14:paraId="000A5703">
            <w:pPr>
              <w:pStyle w:val="7"/>
              <w:spacing w:before="105" w:line="160" w:lineRule="auto"/>
              <w:jc w:val="both"/>
              <w:rPr>
                <w:rFonts w:ascii="宋体" w:hAnsi="宋体" w:cs="宋体"/>
                <w:sz w:val="24"/>
              </w:rPr>
            </w:pPr>
          </w:p>
          <w:p w14:paraId="7736BB76">
            <w:pPr>
              <w:pStyle w:val="7"/>
              <w:spacing w:before="105" w:line="160" w:lineRule="auto"/>
              <w:ind w:firstLine="24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3分59秒</w:t>
            </w:r>
          </w:p>
        </w:tc>
        <w:tc>
          <w:tcPr>
            <w:tcW w:w="825" w:type="dxa"/>
          </w:tcPr>
          <w:p w14:paraId="75D005DF">
            <w:pPr>
              <w:pStyle w:val="7"/>
              <w:spacing w:before="197" w:line="185" w:lineRule="auto"/>
              <w:ind w:left="135"/>
            </w:pPr>
            <w:r>
              <w:rPr>
                <w:spacing w:val="-2"/>
              </w:rPr>
              <w:t>体裁</w:t>
            </w:r>
          </w:p>
        </w:tc>
        <w:tc>
          <w:tcPr>
            <w:tcW w:w="3277" w:type="dxa"/>
            <w:gridSpan w:val="3"/>
          </w:tcPr>
          <w:p w14:paraId="3BC85AC0">
            <w:pPr>
              <w:pStyle w:val="7"/>
              <w:spacing w:before="67" w:line="167" w:lineRule="auto"/>
              <w:ind w:left="118" w:right="107" w:firstLine="3"/>
              <w:rPr>
                <w:sz w:val="21"/>
                <w:szCs w:val="21"/>
              </w:rPr>
            </w:pPr>
          </w:p>
        </w:tc>
      </w:tr>
      <w:tr w14:paraId="18816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 w14:paraId="7292AF61"/>
        </w:tc>
        <w:tc>
          <w:tcPr>
            <w:tcW w:w="4526" w:type="dxa"/>
            <w:gridSpan w:val="6"/>
            <w:vMerge w:val="continue"/>
            <w:tcBorders>
              <w:top w:val="nil"/>
            </w:tcBorders>
          </w:tcPr>
          <w:p w14:paraId="016BA8FC"/>
        </w:tc>
        <w:tc>
          <w:tcPr>
            <w:tcW w:w="825" w:type="dxa"/>
          </w:tcPr>
          <w:p w14:paraId="1C46E96B">
            <w:pPr>
              <w:pStyle w:val="7"/>
              <w:spacing w:before="168" w:line="171" w:lineRule="auto"/>
              <w:ind w:left="131"/>
            </w:pPr>
            <w:r>
              <w:rPr>
                <w:spacing w:val="-1"/>
              </w:rPr>
              <w:t>语种</w:t>
            </w:r>
          </w:p>
        </w:tc>
        <w:tc>
          <w:tcPr>
            <w:tcW w:w="3277" w:type="dxa"/>
            <w:gridSpan w:val="3"/>
          </w:tcPr>
          <w:p w14:paraId="6B5F77A1">
            <w:pPr>
              <w:rPr>
                <w:rFonts w:eastAsia="宋体"/>
                <w:lang w:eastAsia="zh-CN"/>
              </w:rPr>
            </w:pPr>
          </w:p>
        </w:tc>
      </w:tr>
      <w:tr w14:paraId="60152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2" w:hRule="atLeast"/>
        </w:trPr>
        <w:tc>
          <w:tcPr>
            <w:tcW w:w="1291" w:type="dxa"/>
          </w:tcPr>
          <w:p w14:paraId="21B9A454">
            <w:pPr>
              <w:pStyle w:val="7"/>
              <w:spacing w:before="196" w:line="186" w:lineRule="auto"/>
              <w:ind w:left="316"/>
            </w:pPr>
            <w:r>
              <w:rPr>
                <w:spacing w:val="-3"/>
              </w:rPr>
              <w:t>作者</w:t>
            </w:r>
          </w:p>
          <w:p w14:paraId="0C3A88BB">
            <w:pPr>
              <w:pStyle w:val="7"/>
              <w:spacing w:before="19" w:line="186" w:lineRule="auto"/>
              <w:ind w:left="182"/>
              <w:rPr>
                <w:sz w:val="16"/>
                <w:szCs w:val="16"/>
              </w:rPr>
            </w:pPr>
            <w:r>
              <w:rPr>
                <w:spacing w:val="-18"/>
                <w:w w:val="97"/>
                <w:sz w:val="16"/>
                <w:szCs w:val="16"/>
              </w:rPr>
              <w:t>（主创人员）</w:t>
            </w:r>
          </w:p>
        </w:tc>
        <w:tc>
          <w:tcPr>
            <w:tcW w:w="4526" w:type="dxa"/>
            <w:gridSpan w:val="6"/>
          </w:tcPr>
          <w:p w14:paraId="291A5EFC">
            <w:pPr>
              <w:pStyle w:val="7"/>
              <w:spacing w:before="251" w:line="172" w:lineRule="auto"/>
              <w:ind w:right="105" w:firstLine="240" w:firstLineChars="100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范威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吴波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罗亨钦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方洲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高原</w:t>
            </w:r>
          </w:p>
        </w:tc>
        <w:tc>
          <w:tcPr>
            <w:tcW w:w="825" w:type="dxa"/>
          </w:tcPr>
          <w:p w14:paraId="08FD9B92">
            <w:pPr>
              <w:pStyle w:val="7"/>
              <w:spacing w:before="127" w:line="185" w:lineRule="auto"/>
            </w:pPr>
            <w:r>
              <w:rPr>
                <w:spacing w:val="-4"/>
              </w:rPr>
              <w:t>编辑</w:t>
            </w:r>
          </w:p>
        </w:tc>
        <w:tc>
          <w:tcPr>
            <w:tcW w:w="3277" w:type="dxa"/>
            <w:gridSpan w:val="3"/>
          </w:tcPr>
          <w:p w14:paraId="6EB45413">
            <w:pPr>
              <w:pStyle w:val="7"/>
              <w:spacing w:before="11" w:line="236" w:lineRule="exact"/>
              <w:ind w:left="118" w:right="105"/>
              <w:jc w:val="both"/>
              <w:rPr>
                <w:rFonts w:ascii="宋体" w:hAnsi="宋体"/>
                <w:sz w:val="24"/>
                <w:lang w:eastAsia="zh-CN"/>
              </w:rPr>
            </w:pPr>
          </w:p>
          <w:p w14:paraId="208A8001">
            <w:pPr>
              <w:pStyle w:val="7"/>
              <w:spacing w:before="11" w:line="236" w:lineRule="exact"/>
              <w:ind w:right="105" w:firstLine="24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蒋</w:t>
            </w:r>
            <w:r>
              <w:rPr>
                <w:rFonts w:hint="eastAsia" w:ascii="宋体" w:hAnsi="宋体"/>
                <w:sz w:val="24"/>
                <w:lang w:eastAsia="zh-CN"/>
              </w:rPr>
              <w:t>彤铭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张宁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陈明远</w:t>
            </w:r>
          </w:p>
        </w:tc>
      </w:tr>
      <w:tr w14:paraId="42914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1291" w:type="dxa"/>
          </w:tcPr>
          <w:p w14:paraId="64CCE7A5">
            <w:pPr>
              <w:pStyle w:val="7"/>
              <w:spacing w:before="42" w:line="296" w:lineRule="exact"/>
              <w:ind w:left="297" w:right="286" w:hanging="7"/>
            </w:pPr>
            <w:r>
              <w:rPr>
                <w:spacing w:val="-2"/>
              </w:rPr>
              <w:t>原创</w:t>
            </w:r>
            <w:r>
              <w:t xml:space="preserve"> </w:t>
            </w:r>
            <w:r>
              <w:rPr>
                <w:spacing w:val="-6"/>
                <w:position w:val="-2"/>
              </w:rPr>
              <w:t>单位</w:t>
            </w:r>
          </w:p>
        </w:tc>
        <w:tc>
          <w:tcPr>
            <w:tcW w:w="3533" w:type="dxa"/>
            <w:gridSpan w:val="4"/>
            <w:shd w:val="clear" w:color="auto" w:fill="auto"/>
            <w:vAlign w:val="center"/>
          </w:tcPr>
          <w:p w14:paraId="0996EF55">
            <w:pPr>
              <w:spacing w:line="260" w:lineRule="exact"/>
              <w:ind w:firstLine="240" w:firstLineChars="100"/>
              <w:rPr>
                <w:rFonts w:ascii="仿宋_GB2312" w:hAnsi="仿宋"/>
              </w:rPr>
            </w:pPr>
            <w:r>
              <w:rPr>
                <w:rFonts w:hint="eastAsia" w:ascii="宋体" w:hAnsi="宋体" w:cs="宋体"/>
                <w:sz w:val="24"/>
              </w:rPr>
              <w:t>福建省广播影视</w:t>
            </w: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集</w:t>
            </w:r>
            <w:r>
              <w:rPr>
                <w:rFonts w:hint="eastAsia" w:ascii="宋体" w:hAnsi="宋体" w:cs="宋体"/>
                <w:sz w:val="24"/>
              </w:rPr>
              <w:t>团</w:t>
            </w:r>
          </w:p>
        </w:tc>
        <w:tc>
          <w:tcPr>
            <w:tcW w:w="1818" w:type="dxa"/>
            <w:gridSpan w:val="3"/>
          </w:tcPr>
          <w:p w14:paraId="241555AD">
            <w:pPr>
              <w:pStyle w:val="7"/>
              <w:spacing w:before="27" w:line="167" w:lineRule="auto"/>
              <w:ind w:left="112" w:right="222" w:firstLine="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发布端/账号/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媒体名称</w:t>
            </w:r>
          </w:p>
        </w:tc>
        <w:tc>
          <w:tcPr>
            <w:tcW w:w="3277" w:type="dxa"/>
            <w:gridSpan w:val="3"/>
          </w:tcPr>
          <w:p w14:paraId="33AF9E1C"/>
        </w:tc>
      </w:tr>
      <w:tr w14:paraId="285AB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4" w:hRule="atLeast"/>
        </w:trPr>
        <w:tc>
          <w:tcPr>
            <w:tcW w:w="1291" w:type="dxa"/>
          </w:tcPr>
          <w:p w14:paraId="2A270FD0">
            <w:pPr>
              <w:pStyle w:val="7"/>
              <w:spacing w:before="87" w:line="162" w:lineRule="auto"/>
              <w:ind w:left="180" w:right="145" w:hanging="23"/>
              <w:rPr>
                <w:sz w:val="22"/>
                <w:szCs w:val="22"/>
              </w:rPr>
            </w:pPr>
            <w:r>
              <w:rPr>
                <w:spacing w:val="-2"/>
              </w:rPr>
              <w:t>刊播版面</w:t>
            </w:r>
            <w:r>
              <w:t xml:space="preserve"> </w:t>
            </w:r>
            <w:r>
              <w:rPr>
                <w:spacing w:val="-19"/>
                <w:w w:val="97"/>
                <w:sz w:val="24"/>
                <w:szCs w:val="24"/>
              </w:rPr>
              <w:t>(</w:t>
            </w:r>
            <w:r>
              <w:rPr>
                <w:spacing w:val="-19"/>
                <w:w w:val="97"/>
                <w:sz w:val="22"/>
                <w:szCs w:val="22"/>
              </w:rPr>
              <w:t>名称和版次)</w:t>
            </w:r>
          </w:p>
        </w:tc>
        <w:tc>
          <w:tcPr>
            <w:tcW w:w="3533" w:type="dxa"/>
            <w:gridSpan w:val="4"/>
          </w:tcPr>
          <w:p w14:paraId="47711312">
            <w:pPr>
              <w:pStyle w:val="7"/>
              <w:spacing w:before="135" w:line="179" w:lineRule="auto"/>
              <w:ind w:left="118" w:right="106" w:hanging="1"/>
              <w:rPr>
                <w:rFonts w:ascii="宋体" w:hAnsi="宋体" w:cs="宋体"/>
                <w:sz w:val="24"/>
                <w:lang w:eastAsia="zh-CN"/>
              </w:rPr>
            </w:pPr>
          </w:p>
          <w:p w14:paraId="0B8CF546">
            <w:pPr>
              <w:pStyle w:val="7"/>
              <w:spacing w:before="135" w:line="179" w:lineRule="auto"/>
              <w:ind w:right="106" w:firstLine="240" w:firstLineChars="100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东南卫视《东南晚报》</w:t>
            </w:r>
          </w:p>
        </w:tc>
        <w:tc>
          <w:tcPr>
            <w:tcW w:w="993" w:type="dxa"/>
            <w:gridSpan w:val="2"/>
          </w:tcPr>
          <w:p w14:paraId="554D1E67">
            <w:pPr>
              <w:pStyle w:val="7"/>
              <w:spacing w:before="88" w:line="319" w:lineRule="exact"/>
              <w:ind w:left="272" w:right="215" w:hanging="52"/>
            </w:pPr>
            <w:r>
              <w:rPr>
                <w:spacing w:val="-4"/>
                <w:position w:val="1"/>
              </w:rPr>
              <w:t>刊播</w:t>
            </w:r>
            <w:r>
              <w:rPr>
                <w:position w:val="1"/>
              </w:rPr>
              <w:t xml:space="preserve"> </w:t>
            </w:r>
            <w:r>
              <w:rPr>
                <w:spacing w:val="-30"/>
                <w:position w:val="1"/>
              </w:rPr>
              <w:t>日期</w:t>
            </w:r>
          </w:p>
        </w:tc>
        <w:tc>
          <w:tcPr>
            <w:tcW w:w="4102" w:type="dxa"/>
            <w:gridSpan w:val="4"/>
            <w:shd w:val="clear" w:color="auto" w:fill="auto"/>
            <w:vAlign w:val="center"/>
          </w:tcPr>
          <w:p w14:paraId="264107A2">
            <w:pPr>
              <w:spacing w:line="260" w:lineRule="exact"/>
              <w:ind w:firstLine="720" w:firstLineChars="300"/>
              <w:rPr>
                <w:rFonts w:ascii="仿宋_GB2312" w:hAnsi="仿宋" w:eastAsia="仿宋_GB2312" w:cstheme="minorBidi"/>
                <w:kern w:val="2"/>
                <w:sz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2024年3月25日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23点12分</w:t>
            </w:r>
          </w:p>
        </w:tc>
      </w:tr>
      <w:tr w14:paraId="0EA7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8" w:hRule="atLeast"/>
        </w:trPr>
        <w:tc>
          <w:tcPr>
            <w:tcW w:w="1291" w:type="dxa"/>
          </w:tcPr>
          <w:p w14:paraId="74A99397">
            <w:pPr>
              <w:pStyle w:val="7"/>
              <w:spacing w:before="112" w:line="166" w:lineRule="auto"/>
              <w:ind w:left="501" w:right="109" w:hanging="39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新媒体</w:t>
            </w:r>
          </w:p>
          <w:p w14:paraId="78955D69">
            <w:pPr>
              <w:pStyle w:val="7"/>
              <w:spacing w:before="112" w:line="166" w:lineRule="auto"/>
              <w:ind w:left="501" w:right="109" w:hanging="390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作品</w:t>
            </w:r>
            <w:r>
              <w:rPr>
                <w:spacing w:val="-9"/>
                <w:sz w:val="24"/>
                <w:szCs w:val="24"/>
              </w:rPr>
              <w:t>网址</w:t>
            </w:r>
          </w:p>
        </w:tc>
        <w:tc>
          <w:tcPr>
            <w:tcW w:w="5351" w:type="dxa"/>
            <w:gridSpan w:val="7"/>
          </w:tcPr>
          <w:p w14:paraId="291C3702">
            <w:pPr>
              <w:pStyle w:val="7"/>
              <w:spacing w:before="130" w:line="179" w:lineRule="auto"/>
              <w:ind w:left="123" w:right="103" w:hanging="4"/>
              <w:rPr>
                <w:sz w:val="21"/>
                <w:szCs w:val="21"/>
              </w:rPr>
            </w:pPr>
          </w:p>
        </w:tc>
        <w:tc>
          <w:tcPr>
            <w:tcW w:w="1723" w:type="dxa"/>
            <w:gridSpan w:val="2"/>
          </w:tcPr>
          <w:p w14:paraId="043D0BC5">
            <w:pPr>
              <w:pStyle w:val="7"/>
              <w:spacing w:before="112" w:line="166" w:lineRule="auto"/>
              <w:ind w:left="501" w:right="109" w:hanging="390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    </w:t>
            </w:r>
            <w:r>
              <w:rPr>
                <w:spacing w:val="-1"/>
                <w:sz w:val="24"/>
                <w:szCs w:val="24"/>
              </w:rPr>
              <w:t>是否为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  </w:t>
            </w:r>
          </w:p>
          <w:p w14:paraId="299A421D">
            <w:pPr>
              <w:pStyle w:val="7"/>
              <w:spacing w:before="112" w:line="166" w:lineRule="auto"/>
              <w:ind w:left="501" w:right="109" w:hanging="390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“</w:t>
            </w:r>
            <w:r>
              <w:rPr>
                <w:spacing w:val="-1"/>
                <w:sz w:val="24"/>
                <w:szCs w:val="24"/>
              </w:rPr>
              <w:t>三好作品</w:t>
            </w:r>
            <w:r>
              <w:rPr>
                <w:rFonts w:hint="eastAsia"/>
                <w:spacing w:val="-1"/>
                <w:sz w:val="24"/>
                <w:szCs w:val="24"/>
              </w:rPr>
              <w:t>”</w:t>
            </w:r>
          </w:p>
        </w:tc>
        <w:tc>
          <w:tcPr>
            <w:tcW w:w="1554" w:type="dxa"/>
          </w:tcPr>
          <w:p w14:paraId="5A403837">
            <w:pPr>
              <w:rPr>
                <w:rFonts w:eastAsia="宋体"/>
                <w:lang w:eastAsia="zh-CN"/>
              </w:rPr>
            </w:pPr>
          </w:p>
          <w:p w14:paraId="24F18DC2">
            <w:pPr>
              <w:ind w:firstLine="420" w:firstLineChars="20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  <w:tr w14:paraId="3BA72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23" w:hRule="atLeast"/>
        </w:trPr>
        <w:tc>
          <w:tcPr>
            <w:tcW w:w="1291" w:type="dxa"/>
          </w:tcPr>
          <w:p w14:paraId="5EB8E40F">
            <w:pPr>
              <w:pStyle w:val="7"/>
              <w:spacing w:before="131" w:line="320" w:lineRule="exact"/>
              <w:ind w:left="420"/>
              <w:rPr>
                <w:spacing w:val="30"/>
              </w:rPr>
            </w:pPr>
          </w:p>
          <w:p w14:paraId="7C01E336">
            <w:pPr>
              <w:pStyle w:val="7"/>
              <w:spacing w:before="131" w:line="320" w:lineRule="exact"/>
              <w:ind w:left="420"/>
              <w:rPr>
                <w:spacing w:val="30"/>
              </w:rPr>
            </w:pPr>
          </w:p>
          <w:p w14:paraId="150003CD">
            <w:pPr>
              <w:pStyle w:val="7"/>
              <w:spacing w:before="131" w:line="320" w:lineRule="exact"/>
              <w:ind w:left="420"/>
              <w:rPr>
                <w:spacing w:val="30"/>
              </w:rPr>
            </w:pPr>
          </w:p>
          <w:p w14:paraId="7ED2D676">
            <w:pPr>
              <w:pStyle w:val="7"/>
              <w:spacing w:before="131" w:line="320" w:lineRule="exact"/>
              <w:ind w:left="420"/>
              <w:rPr>
                <w:spacing w:val="30"/>
              </w:rPr>
            </w:pPr>
            <w:r>
              <w:rPr>
                <w:spacing w:val="30"/>
              </w:rPr>
              <w:t>采作 编品 过简 程介</w:t>
            </w:r>
          </w:p>
          <w:p w14:paraId="086079D8">
            <w:pPr>
              <w:pStyle w:val="7"/>
              <w:spacing w:line="152" w:lineRule="exact"/>
              <w:rPr>
                <w:sz w:val="7"/>
                <w:szCs w:val="7"/>
              </w:rPr>
            </w:pPr>
          </w:p>
        </w:tc>
        <w:tc>
          <w:tcPr>
            <w:tcW w:w="8628" w:type="dxa"/>
            <w:gridSpan w:val="10"/>
          </w:tcPr>
          <w:p w14:paraId="54F9AE09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B164BDD"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bookmarkStart w:id="0" w:name="OLE_LINK8"/>
            <w:bookmarkStart w:id="1" w:name="OLE_LINK9"/>
            <w:bookmarkStart w:id="2" w:name="OLE_LINK1"/>
            <w:bookmarkStart w:id="3" w:name="OLE_LINK3"/>
            <w:bookmarkStart w:id="4" w:name="OLE_LINK2"/>
            <w:bookmarkStart w:id="5" w:name="OLE_LINK11"/>
            <w:bookmarkStart w:id="6" w:name="OLE_LINK12"/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授予立法权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是中央支持厦门经济特区发展的重大举措，因台而设的厦门经济特区，在三十年间如何用好中央赋予的这项权力？作品以2024年3月份全国首部鼓励台青就业创业的地方性法</w:t>
            </w:r>
            <w:bookmarkStart w:id="15" w:name="_GoBack"/>
            <w:bookmarkEnd w:id="15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规正式实施为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新闻由头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厦金码头专门设置的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台胞服务点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切入，用细节展现此次立法的“小切口”特点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。节目还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采访参与立法起草的专家，并结合相关部门最新的政策变化，体现出立法的引领作用，阐释了从“惠台政策”到“涉台法规”的重要意义。作品延伸梳理1994年3月全国人大授予厦门经济特区立法权以来厦门不同时期出台的5部涉台法规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从早期聚焦经济合作到如今关注台青生活，厦门涉台立法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始终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走在全国前列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紧跟两岸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融合发展的时代需求</w:t>
            </w:r>
            <w:bookmarkEnd w:id="0"/>
            <w:bookmarkEnd w:id="1"/>
            <w:bookmarkEnd w:id="2"/>
            <w:bookmarkEnd w:id="3"/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 xml:space="preserve"> </w:t>
            </w:r>
            <w:bookmarkEnd w:id="4"/>
            <w:bookmarkEnd w:id="5"/>
            <w:bookmarkEnd w:id="6"/>
          </w:p>
        </w:tc>
      </w:tr>
      <w:tr w14:paraId="3A554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05" w:hRule="atLeast"/>
        </w:trPr>
        <w:tc>
          <w:tcPr>
            <w:tcW w:w="1291" w:type="dxa"/>
            <w:textDirection w:val="tbRlV"/>
          </w:tcPr>
          <w:p w14:paraId="099AEB39">
            <w:pPr>
              <w:spacing w:line="288" w:lineRule="auto"/>
              <w:rPr>
                <w:lang w:eastAsia="zh-CN"/>
              </w:rPr>
            </w:pPr>
          </w:p>
          <w:p w14:paraId="7B883B41">
            <w:pPr>
              <w:pStyle w:val="7"/>
              <w:spacing w:before="131" w:line="186" w:lineRule="auto"/>
              <w:ind w:left="50" w:firstLine="680" w:firstLineChars="200"/>
            </w:pPr>
            <w:r>
              <w:rPr>
                <w:spacing w:val="30"/>
              </w:rPr>
              <w:t>社会效果</w:t>
            </w:r>
          </w:p>
        </w:tc>
        <w:tc>
          <w:tcPr>
            <w:tcW w:w="8628" w:type="dxa"/>
            <w:gridSpan w:val="10"/>
          </w:tcPr>
          <w:p w14:paraId="3741F531"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  <w:p w14:paraId="7D59EC88"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bookmarkStart w:id="7" w:name="OLE_LINK4"/>
            <w:bookmarkStart w:id="8" w:name="OLE_LINK5"/>
            <w:bookmarkStart w:id="9" w:name="OLE_LINK13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品播出后，厦门市人大专门表扬致谢，认为作品充分体现了立法机关在推动两岸融合中的积极作为。作品在众多台胞的社交平台得到广泛转发。厦门台商协会表示，该报道表达了在厦台商的真实感受，在不同的时代背景下，从“惠台政策”到“涉台法规”，台商得到的是实惠、是保障、是坚定信心。作品还在学界引发热烈讨论，专家认为，这篇报道为国家在两岸融合领域的立法探索总结了宝贵经验。</w:t>
            </w:r>
            <w:bookmarkEnd w:id="7"/>
            <w:bookmarkEnd w:id="8"/>
            <w:bookmarkEnd w:id="9"/>
          </w:p>
        </w:tc>
      </w:tr>
      <w:tr w14:paraId="2B699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291" w:type="dxa"/>
            <w:vMerge w:val="restart"/>
            <w:tcBorders>
              <w:bottom w:val="nil"/>
            </w:tcBorders>
            <w:textDirection w:val="tbRlV"/>
          </w:tcPr>
          <w:p w14:paraId="1E1ECFDB">
            <w:pPr>
              <w:spacing w:line="289" w:lineRule="auto"/>
              <w:rPr>
                <w:lang w:eastAsia="zh-CN"/>
              </w:rPr>
            </w:pPr>
          </w:p>
          <w:p w14:paraId="261EDB51">
            <w:pPr>
              <w:pStyle w:val="7"/>
              <w:spacing w:before="131" w:line="183" w:lineRule="auto"/>
              <w:ind w:left="420"/>
            </w:pPr>
            <w:r>
              <w:rPr>
                <w:spacing w:val="30"/>
              </w:rPr>
              <w:t>传播数据</w:t>
            </w:r>
          </w:p>
        </w:tc>
        <w:tc>
          <w:tcPr>
            <w:tcW w:w="1263" w:type="dxa"/>
            <w:vMerge w:val="restart"/>
            <w:tcBorders>
              <w:bottom w:val="nil"/>
            </w:tcBorders>
          </w:tcPr>
          <w:p w14:paraId="02D7D677">
            <w:pPr>
              <w:pStyle w:val="7"/>
              <w:spacing w:before="344" w:line="246" w:lineRule="auto"/>
              <w:ind w:left="237" w:right="137" w:hanging="70"/>
              <w:rPr>
                <w:sz w:val="24"/>
                <w:szCs w:val="24"/>
              </w:rPr>
            </w:pPr>
            <w:r>
              <w:rPr>
                <w:spacing w:val="-15"/>
                <w:w w:val="98"/>
                <w:sz w:val="24"/>
                <w:szCs w:val="24"/>
              </w:rPr>
              <w:t>新媒体传播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平台网址</w:t>
            </w:r>
          </w:p>
        </w:tc>
        <w:tc>
          <w:tcPr>
            <w:tcW w:w="348" w:type="dxa"/>
          </w:tcPr>
          <w:p w14:paraId="121100ED">
            <w:pPr>
              <w:pStyle w:val="7"/>
              <w:spacing w:before="150" w:line="158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7" w:type="dxa"/>
            <w:gridSpan w:val="8"/>
          </w:tcPr>
          <w:p w14:paraId="7B65595D">
            <w:pPr>
              <w:pStyle w:val="7"/>
              <w:spacing w:before="125" w:line="193" w:lineRule="auto"/>
              <w:ind w:left="118"/>
              <w:rPr>
                <w:sz w:val="19"/>
                <w:szCs w:val="19"/>
              </w:rPr>
            </w:pPr>
          </w:p>
        </w:tc>
      </w:tr>
      <w:tr w14:paraId="0E6AD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1291" w:type="dxa"/>
            <w:vMerge w:val="continue"/>
            <w:tcBorders>
              <w:top w:val="nil"/>
              <w:bottom w:val="nil"/>
            </w:tcBorders>
            <w:textDirection w:val="tbRlV"/>
          </w:tcPr>
          <w:p w14:paraId="71ECC787"/>
        </w:tc>
        <w:tc>
          <w:tcPr>
            <w:tcW w:w="1263" w:type="dxa"/>
            <w:vMerge w:val="continue"/>
            <w:tcBorders>
              <w:top w:val="nil"/>
              <w:bottom w:val="nil"/>
            </w:tcBorders>
          </w:tcPr>
          <w:p w14:paraId="527AD960"/>
        </w:tc>
        <w:tc>
          <w:tcPr>
            <w:tcW w:w="348" w:type="dxa"/>
          </w:tcPr>
          <w:p w14:paraId="1DE691AB">
            <w:pPr>
              <w:pStyle w:val="7"/>
              <w:spacing w:before="151" w:line="158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7" w:type="dxa"/>
            <w:gridSpan w:val="8"/>
          </w:tcPr>
          <w:p w14:paraId="3A8D4FC0"/>
        </w:tc>
      </w:tr>
      <w:tr w14:paraId="356B1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4" w:hRule="atLeast"/>
        </w:trPr>
        <w:tc>
          <w:tcPr>
            <w:tcW w:w="1291" w:type="dxa"/>
            <w:vMerge w:val="continue"/>
            <w:tcBorders>
              <w:top w:val="nil"/>
              <w:bottom w:val="nil"/>
            </w:tcBorders>
            <w:textDirection w:val="tbRlV"/>
          </w:tcPr>
          <w:p w14:paraId="0B077B0C"/>
        </w:tc>
        <w:tc>
          <w:tcPr>
            <w:tcW w:w="1263" w:type="dxa"/>
            <w:vMerge w:val="continue"/>
            <w:tcBorders>
              <w:top w:val="nil"/>
            </w:tcBorders>
          </w:tcPr>
          <w:p w14:paraId="1453AFAD"/>
        </w:tc>
        <w:tc>
          <w:tcPr>
            <w:tcW w:w="348" w:type="dxa"/>
          </w:tcPr>
          <w:p w14:paraId="3DE5E7EB">
            <w:pPr>
              <w:pStyle w:val="7"/>
              <w:spacing w:before="151" w:line="159" w:lineRule="auto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7" w:type="dxa"/>
            <w:gridSpan w:val="8"/>
          </w:tcPr>
          <w:p w14:paraId="209B717D"/>
        </w:tc>
      </w:tr>
      <w:tr w14:paraId="4818D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4" w:hRule="atLeast"/>
        </w:trPr>
        <w:tc>
          <w:tcPr>
            <w:tcW w:w="1291" w:type="dxa"/>
            <w:vMerge w:val="continue"/>
            <w:tcBorders>
              <w:top w:val="nil"/>
            </w:tcBorders>
            <w:textDirection w:val="tbRlV"/>
          </w:tcPr>
          <w:p w14:paraId="47BF9B07"/>
        </w:tc>
        <w:tc>
          <w:tcPr>
            <w:tcW w:w="1263" w:type="dxa"/>
          </w:tcPr>
          <w:p w14:paraId="5A774690">
            <w:pPr>
              <w:pStyle w:val="7"/>
              <w:spacing w:before="111" w:line="166" w:lineRule="auto"/>
              <w:ind w:left="118" w:right="60" w:firstLine="13"/>
              <w:rPr>
                <w:sz w:val="21"/>
                <w:szCs w:val="21"/>
                <w:lang w:eastAsia="zh-CN"/>
              </w:rPr>
            </w:pPr>
            <w:r>
              <w:rPr>
                <w:spacing w:val="-15"/>
                <w:sz w:val="21"/>
                <w:szCs w:val="21"/>
                <w:lang w:eastAsia="zh-CN"/>
              </w:rPr>
              <w:t>阅读量（浏览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5"/>
                <w:sz w:val="21"/>
                <w:szCs w:val="21"/>
                <w:lang w:eastAsia="zh-CN"/>
              </w:rPr>
              <w:t>量、点击量）</w:t>
            </w:r>
          </w:p>
        </w:tc>
        <w:tc>
          <w:tcPr>
            <w:tcW w:w="1845" w:type="dxa"/>
            <w:gridSpan w:val="2"/>
          </w:tcPr>
          <w:p w14:paraId="355583E5">
            <w:pPr>
              <w:rPr>
                <w:lang w:eastAsia="zh-CN"/>
              </w:rPr>
            </w:pPr>
          </w:p>
        </w:tc>
        <w:tc>
          <w:tcPr>
            <w:tcW w:w="991" w:type="dxa"/>
            <w:gridSpan w:val="2"/>
          </w:tcPr>
          <w:p w14:paraId="786512E7">
            <w:pPr>
              <w:pStyle w:val="7"/>
              <w:spacing w:before="212" w:line="195" w:lineRule="auto"/>
              <w:ind w:left="1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转载量</w:t>
            </w:r>
          </w:p>
        </w:tc>
        <w:tc>
          <w:tcPr>
            <w:tcW w:w="1984" w:type="dxa"/>
            <w:gridSpan w:val="3"/>
          </w:tcPr>
          <w:p w14:paraId="50CDC193"/>
        </w:tc>
        <w:tc>
          <w:tcPr>
            <w:tcW w:w="991" w:type="dxa"/>
          </w:tcPr>
          <w:p w14:paraId="02433754">
            <w:pPr>
              <w:pStyle w:val="7"/>
              <w:spacing w:before="213" w:line="194" w:lineRule="auto"/>
              <w:ind w:left="1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互动量</w:t>
            </w:r>
          </w:p>
        </w:tc>
        <w:tc>
          <w:tcPr>
            <w:tcW w:w="1554" w:type="dxa"/>
          </w:tcPr>
          <w:p w14:paraId="1A5C96DD"/>
        </w:tc>
      </w:tr>
      <w:tr w14:paraId="7B9E9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29" w:hRule="atLeast"/>
        </w:trPr>
        <w:tc>
          <w:tcPr>
            <w:tcW w:w="1291" w:type="dxa"/>
          </w:tcPr>
          <w:p w14:paraId="56E8B3D0">
            <w:pPr>
              <w:pStyle w:val="7"/>
              <w:spacing w:before="263" w:line="149" w:lineRule="exact"/>
              <w:ind w:left="579"/>
              <w:rPr>
                <w:position w:val="3"/>
                <w:lang w:eastAsia="zh-CN"/>
              </w:rPr>
            </w:pPr>
          </w:p>
          <w:p w14:paraId="503D224D">
            <w:pPr>
              <w:pStyle w:val="7"/>
              <w:spacing w:before="263" w:line="149" w:lineRule="exact"/>
              <w:ind w:left="579"/>
              <w:rPr>
                <w:position w:val="3"/>
                <w:lang w:eastAsia="zh-CN"/>
              </w:rPr>
            </w:pPr>
          </w:p>
          <w:p w14:paraId="2669CF89">
            <w:pPr>
              <w:pStyle w:val="7"/>
              <w:spacing w:before="263" w:line="149" w:lineRule="exact"/>
              <w:ind w:left="579"/>
              <w:rPr>
                <w:lang w:eastAsia="zh-CN"/>
              </w:rPr>
            </w:pPr>
            <w:r>
              <w:rPr>
                <w:position w:val="3"/>
                <w:lang w:eastAsia="zh-CN"/>
              </w:rPr>
              <w:t>︵</w:t>
            </w:r>
          </w:p>
          <w:p w14:paraId="245441B8">
            <w:pPr>
              <w:pStyle w:val="7"/>
              <w:spacing w:before="7" w:line="153" w:lineRule="auto"/>
              <w:ind w:left="289" w:right="286" w:firstLine="7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初推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评荐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评理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语</w:t>
            </w:r>
            <w:r>
              <w:rPr>
                <w:rFonts w:hint="eastAsia"/>
                <w:spacing w:val="-2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由</w:t>
            </w:r>
          </w:p>
          <w:p w14:paraId="6231A957">
            <w:pPr>
              <w:pStyle w:val="7"/>
              <w:spacing w:before="263" w:line="149" w:lineRule="exact"/>
              <w:ind w:left="579"/>
              <w:rPr>
                <w:sz w:val="7"/>
                <w:szCs w:val="7"/>
                <w:lang w:eastAsia="zh-CN"/>
              </w:rPr>
            </w:pPr>
            <w:r>
              <w:rPr>
                <w:position w:val="3"/>
                <w:lang w:eastAsia="zh-CN"/>
              </w:rPr>
              <w:t>︶</w:t>
            </w:r>
          </w:p>
        </w:tc>
        <w:tc>
          <w:tcPr>
            <w:tcW w:w="8628" w:type="dxa"/>
            <w:gridSpan w:val="10"/>
          </w:tcPr>
          <w:p w14:paraId="218615BA">
            <w:pPr>
              <w:spacing w:line="260" w:lineRule="auto"/>
              <w:rPr>
                <w:lang w:eastAsia="zh-CN"/>
              </w:rPr>
            </w:pPr>
          </w:p>
          <w:p w14:paraId="42F66DD5">
            <w:pPr>
              <w:ind w:firstLine="560" w:firstLineChars="200"/>
              <w:rPr>
                <w:rFonts w:ascii="宋体" w:hAnsi="宋体"/>
                <w:sz w:val="28"/>
                <w:szCs w:val="28"/>
                <w:lang w:eastAsia="zh-CN"/>
              </w:rPr>
            </w:pPr>
            <w:bookmarkStart w:id="10" w:name="OLE_LINK6"/>
            <w:bookmarkStart w:id="11" w:name="OLE_LINK7"/>
            <w:bookmarkStart w:id="12" w:name="OLE_LINK10"/>
            <w:bookmarkStart w:id="13" w:name="OLE_LINK14"/>
            <w:bookmarkStart w:id="14" w:name="OLE_LINK15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从全国最早的台胞投资保障法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，到加快台商投资区发展、建设两岸区域性金融服务中心、推动两岸新兴产业和现代服务业合作、鼓励台青就业创业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等领域的立法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，记者深入采访立法进程中的推动者、见证者、受益者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细致呈现了厦门经济特区获得立法权30年来，出台的五部涉台法规</w:t>
            </w:r>
            <w:r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独特作用与时代意义。作品既有情感温度，又有理性深度，立意高远、采访扎实、架构清晰、细节丰富，是一篇充分展现两岸融合发展成果的优秀报道。</w:t>
            </w:r>
            <w:bookmarkEnd w:id="10"/>
            <w:bookmarkEnd w:id="11"/>
            <w:bookmarkEnd w:id="12"/>
          </w:p>
          <w:bookmarkEnd w:id="13"/>
          <w:bookmarkEnd w:id="14"/>
          <w:p w14:paraId="53423BCA">
            <w:pPr>
              <w:pStyle w:val="7"/>
              <w:spacing w:before="220" w:line="183" w:lineRule="auto"/>
              <w:ind w:left="3778"/>
              <w:rPr>
                <w:spacing w:val="-19"/>
                <w:lang w:eastAsia="zh-CN"/>
              </w:rPr>
            </w:pPr>
          </w:p>
          <w:p w14:paraId="2095F20D">
            <w:pPr>
              <w:pStyle w:val="7"/>
              <w:spacing w:before="220" w:line="183" w:lineRule="auto"/>
              <w:ind w:left="3778"/>
              <w:rPr>
                <w:spacing w:val="-19"/>
                <w:lang w:eastAsia="zh-CN"/>
              </w:rPr>
            </w:pPr>
          </w:p>
          <w:p w14:paraId="217B56ED">
            <w:pPr>
              <w:pStyle w:val="7"/>
              <w:spacing w:before="220" w:line="183" w:lineRule="auto"/>
              <w:ind w:left="3778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签名</w:t>
            </w:r>
            <w:r>
              <w:rPr>
                <w:spacing w:val="-13"/>
                <w:lang w:eastAsia="zh-CN"/>
              </w:rPr>
              <w:t>：（</w:t>
            </w:r>
            <w:r>
              <w:rPr>
                <w:spacing w:val="-19"/>
                <w:lang w:eastAsia="zh-CN"/>
              </w:rPr>
              <w:t>盖单位公章）</w:t>
            </w:r>
          </w:p>
          <w:p w14:paraId="32880F9C">
            <w:pPr>
              <w:pStyle w:val="7"/>
              <w:spacing w:line="185" w:lineRule="auto"/>
              <w:ind w:left="459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2025 年   月</w:t>
            </w:r>
            <w:r>
              <w:rPr>
                <w:spacing w:val="22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日</w:t>
            </w:r>
          </w:p>
        </w:tc>
      </w:tr>
    </w:tbl>
    <w:p w14:paraId="5400BB1B">
      <w:pPr>
        <w:spacing w:line="154" w:lineRule="exact"/>
        <w:rPr>
          <w:sz w:val="13"/>
          <w:lang w:eastAsia="zh-CN"/>
        </w:rPr>
      </w:pPr>
    </w:p>
    <w:sectPr>
      <w:footerReference r:id="rId3" w:type="default"/>
      <w:pgSz w:w="11907" w:h="16839"/>
      <w:pgMar w:top="1431" w:right="991" w:bottom="1367" w:left="991" w:header="0" w:footer="10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616E3">
    <w:pPr>
      <w:spacing w:line="282" w:lineRule="exact"/>
      <w:ind w:left="8956"/>
      <w:rPr>
        <w:rFonts w:ascii="PingFang SC" w:hAnsi="PingFang SC" w:eastAsia="PingFang SC" w:cs="PingFang SC"/>
        <w:sz w:val="24"/>
        <w:szCs w:val="24"/>
      </w:rPr>
    </w:pPr>
    <w:r>
      <w:rPr>
        <w:rFonts w:ascii="PingFang SC" w:hAnsi="PingFang SC" w:eastAsia="PingFang SC" w:cs="PingFang SC"/>
        <w:spacing w:val="-23"/>
        <w:position w:val="-5"/>
        <w:sz w:val="24"/>
        <w:szCs w:val="24"/>
      </w:rPr>
      <w:t>-</w:t>
    </w:r>
    <w:r>
      <w:rPr>
        <w:rFonts w:ascii="PingFang SC" w:hAnsi="PingFang SC" w:eastAsia="PingFang SC" w:cs="PingFang SC"/>
        <w:spacing w:val="51"/>
        <w:position w:val="-5"/>
        <w:sz w:val="24"/>
        <w:szCs w:val="24"/>
      </w:rPr>
      <w:t xml:space="preserve"> </w:t>
    </w:r>
    <w:r>
      <w:rPr>
        <w:rFonts w:ascii="PingFang SC" w:hAnsi="PingFang SC" w:eastAsia="PingFang SC" w:cs="PingFang SC"/>
        <w:spacing w:val="-23"/>
        <w:position w:val="-5"/>
        <w:sz w:val="24"/>
        <w:szCs w:val="24"/>
      </w:rPr>
      <w:t>25</w:t>
    </w:r>
    <w:r>
      <w:rPr>
        <w:rFonts w:ascii="PingFang SC" w:hAnsi="PingFang SC" w:eastAsia="PingFang SC" w:cs="PingFang SC"/>
        <w:spacing w:val="46"/>
        <w:w w:val="101"/>
        <w:position w:val="-5"/>
        <w:sz w:val="24"/>
        <w:szCs w:val="24"/>
      </w:rPr>
      <w:t xml:space="preserve"> </w:t>
    </w:r>
    <w:r>
      <w:rPr>
        <w:rFonts w:ascii="PingFang SC" w:hAnsi="PingFang SC" w:eastAsia="PingFang SC" w:cs="PingFang SC"/>
        <w:spacing w:val="-23"/>
        <w:position w:val="-5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EF"/>
    <w:rsid w:val="001D7D78"/>
    <w:rsid w:val="00260BCB"/>
    <w:rsid w:val="00397035"/>
    <w:rsid w:val="003D2090"/>
    <w:rsid w:val="005E55B4"/>
    <w:rsid w:val="00624F4D"/>
    <w:rsid w:val="0066313A"/>
    <w:rsid w:val="0071752E"/>
    <w:rsid w:val="00807933"/>
    <w:rsid w:val="00A3601F"/>
    <w:rsid w:val="00BB3883"/>
    <w:rsid w:val="00BF63A3"/>
    <w:rsid w:val="00CA59B3"/>
    <w:rsid w:val="00CD5E66"/>
    <w:rsid w:val="00E25898"/>
    <w:rsid w:val="00E5282F"/>
    <w:rsid w:val="00E67202"/>
    <w:rsid w:val="00EC7A7E"/>
    <w:rsid w:val="00F159C3"/>
    <w:rsid w:val="00F80D9E"/>
    <w:rsid w:val="00FB63EF"/>
    <w:rsid w:val="00FE4F5D"/>
    <w:rsid w:val="5FB908B3"/>
    <w:rsid w:val="739FC8FD"/>
    <w:rsid w:val="77BD9FC8"/>
    <w:rsid w:val="7BAFEB29"/>
    <w:rsid w:val="95FB4F6D"/>
    <w:rsid w:val="9BBF22FF"/>
    <w:rsid w:val="D3C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PingFang SC" w:hAnsi="PingFang SC" w:eastAsia="PingFang SC" w:cs="PingFang SC"/>
      <w:sz w:val="28"/>
      <w:szCs w:val="28"/>
    </w:rPr>
  </w:style>
  <w:style w:type="character" w:customStyle="1" w:styleId="8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895</Characters>
  <Lines>7</Lines>
  <Paragraphs>2</Paragraphs>
  <TotalTime>32</TotalTime>
  <ScaleCrop>false</ScaleCrop>
  <LinksUpToDate>false</LinksUpToDate>
  <CharactersWithSpaces>1049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2025-05-13T02:09:00Z</dcterms:created>
  <dc:creator>wangyongpo</dc:creator>
  <cp:lastModifiedBy>机器猫</cp:lastModifiedBy>
  <dcterms:modified xsi:type="dcterms:W3CDTF">2025-05-19T09:46:03Z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2025-05-09T15:00:30Z</vt:filetime>
  </property>
  <property fmtid="{D5CDD505-2E9C-101B-9397-08002B2CF9AE}" pid="4" name="KSOProductBuildVer">
    <vt:lpwstr>2052-7.4.1.8983</vt:lpwstr>
  </property>
  <property fmtid="{D5CDD505-2E9C-101B-9397-08002B2CF9AE}" pid="5" name="ICV">
    <vt:lpwstr>4BB95D6AEB109BCF7D46286884286BD7_43</vt:lpwstr>
  </property>
</Properties>
</file>