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9"/>
        <w:tblW w:w="98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1105"/>
        <w:gridCol w:w="39"/>
        <w:gridCol w:w="423"/>
        <w:gridCol w:w="451"/>
        <w:gridCol w:w="671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习声回响·文韵中国</w:t>
            </w:r>
          </w:p>
        </w:tc>
        <w:tc>
          <w:tcPr>
            <w:tcW w:w="1977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400" w:lineRule="exact"/>
              <w:jc w:val="center"/>
              <w:rPr>
                <w:rFonts w:hint="default" w:ascii="仿宋" w:hAnsi="仿宋" w:eastAsia="仿宋_GB2312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重大主题报道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62FAA897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代表作1：1120字/3分21秒；</w:t>
            </w:r>
          </w:p>
          <w:p w14:paraId="365343A1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代表作2：1182字/3分04秒；</w:t>
            </w:r>
          </w:p>
          <w:p w14:paraId="5CAF8101">
            <w:pPr>
              <w:spacing w:line="38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代表作3：1140字/3分26秒</w:t>
            </w:r>
          </w:p>
        </w:tc>
        <w:tc>
          <w:tcPr>
            <w:tcW w:w="1977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系列报道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集体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人员名单附后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77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集体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400" w:lineRule="exact"/>
              <w:jc w:val="center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央广网</w:t>
            </w:r>
          </w:p>
        </w:tc>
        <w:tc>
          <w:tcPr>
            <w:tcW w:w="1977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央广网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400" w:lineRule="exact"/>
              <w:jc w:val="center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央广网独家报道&gt;时政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1E0957CC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代表作1：2025年9月20日；</w:t>
            </w:r>
          </w:p>
          <w:p w14:paraId="597F00C5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代表作2：2025年11月21日；</w:t>
            </w:r>
          </w:p>
          <w:p w14:paraId="3150900B">
            <w:pPr>
              <w:spacing w:line="38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代表作3：2025年12月23日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  <w:jc w:val="center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193" w:type="dxa"/>
            <w:gridSpan w:val="9"/>
            <w:tcBorders>
              <w:tl2br w:val="nil"/>
              <w:tr2bl w:val="nil"/>
            </w:tcBorders>
            <w:vAlign w:val="center"/>
          </w:tcPr>
          <w:p w14:paraId="030C3202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作品1：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【习声回响·文韵中国】守护青铜瑰宝 让千年文明“活”起来</w:t>
            </w:r>
          </w:p>
          <w:p w14:paraId="44E6D36B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https://news.cnr.cn/dj/sz/20250920/t20250920_527369154.shtml</w:t>
            </w:r>
          </w:p>
          <w:p w14:paraId="133895E1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作品2：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【习声回响·文韵中国】在文博“大学校”里读懂千年文脉</w:t>
            </w:r>
          </w:p>
          <w:p w14:paraId="1A722769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https://news.cnr.cn/dj/sz/20251121/t20251121_527436703.shtml</w:t>
            </w:r>
          </w:p>
          <w:p w14:paraId="003AD09A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作品3：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【习声回响·文韵中国】保护传承好“世界级宝贝” 让千年城垣与现代城市交融共生</w:t>
            </w:r>
          </w:p>
          <w:p w14:paraId="46E21C2B">
            <w:pPr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https://news.cnr.cn/dj/sz/20251223/t20251223_527469894.shtml</w:t>
            </w:r>
          </w:p>
        </w:tc>
        <w:tc>
          <w:tcPr>
            <w:tcW w:w="1584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50E2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陕西是中华民族和华夏文明重要发祥地之一。党的十八大以来，习近平总书记多次到陕西考察，了解推动文化遗产保护传承等情况。2025年，央广网策划推出《习声回响·文韵中国》系列报道，沿着总书记的足迹，走进西安博物院、西安城墙、宝鸡青铜器博物院等文博场所，触摸古都的文化脉搏，聆听嘱托落地生根的声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。</w:t>
            </w:r>
          </w:p>
          <w:p w14:paraId="2FF926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访中，记者蹲点西安城墙裂缝监测点位、宝鸡青铜器博物院文物修复室、西安博物院展陈室等一线，捕捉文物保护精彩瞬间、文物修复细节、游客的真情实感；与文博机构负责人、文物保护工作者、讲解员等面对面交流，深入挖掘文物保护与传承背后鲜为人知的故事。系列报道采制历时3个月，采访20余人，拍摄视频素材1000余个，素材总大小约180G。视频剪辑制作时，通过现场讲述和镜头语言，将典型案例、关键人物融于作品中，讲述文物系统“尊古不泥古，创新不失宗”的探索实践，展现新时代文物保护的守正与创新，生动映照文化“两创”的深刻内涵。</w:t>
            </w:r>
          </w:p>
          <w:p w14:paraId="30E5F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3篇作品发布后，均获全网置顶二条推送，人民网、新华网等500多家主流媒体、商业平台转载转发，全网总触达量超2亿人次。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不少网友点赞评论，坚定文化自信，称“鉴古通今，让文化能感知，历史能对话”“千年文脉，生生不息”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。</w:t>
            </w:r>
          </w:p>
          <w:p w14:paraId="057A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exac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7C29459F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代表作1：</w:t>
            </w:r>
          </w:p>
          <w:p w14:paraId="10EAC8E2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https://www.toutiao.com/article/7551955261250961974/</w:t>
            </w:r>
          </w:p>
          <w:p w14:paraId="7491EEC5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代表作2：</w:t>
            </w:r>
          </w:p>
          <w:p w14:paraId="415C1954">
            <w:pPr>
              <w:spacing w:line="380" w:lineRule="exact"/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instrText xml:space="preserve"> HYPERLINK "https://www.toutiao.com/article/7575020449327841819/" </w:instrText>
            </w:r>
            <w:r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https://www.toutiao.com/article/7575020449327841819/</w:t>
            </w:r>
            <w:r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  <w:p w14:paraId="49CC30E4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代表作3：</w:t>
            </w:r>
          </w:p>
          <w:p w14:paraId="5F4806AB">
            <w:pPr>
              <w:spacing w:line="380" w:lineRule="exact"/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theme="minorEastAsia"/>
                <w:color w:val="auto"/>
                <w:sz w:val="24"/>
                <w:szCs w:val="24"/>
                <w:lang w:val="en-US" w:eastAsia="zh-CN"/>
              </w:rPr>
              <w:t>https://www.toutiao.com/article/7586962348699566627/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B16DE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3.8万；</w:t>
            </w:r>
          </w:p>
          <w:p w14:paraId="769BF1DC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6.4万；</w:t>
            </w:r>
          </w:p>
          <w:p w14:paraId="72BED0A6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7.5万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1125；</w:t>
            </w:r>
          </w:p>
          <w:p w14:paraId="234DC381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1359；</w:t>
            </w:r>
          </w:p>
          <w:p w14:paraId="5BA3F641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2563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2亿人次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exac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19CF91F">
            <w:pPr>
              <w:spacing w:line="380" w:lineRule="exact"/>
              <w:ind w:firstLine="560" w:firstLineChars="200"/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  <w:t>中华优秀传统文化的创造性转化与创新性发展，需要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eastAsia="zh-CN"/>
              </w:rPr>
              <w:t>在实践层面探索作答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eastAsia="zh-CN"/>
              </w:rPr>
              <w:t>《习声回响·文韵中国》既忠实记录了习近平总书记的文化足迹，也对新时代文化遗产保护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与传承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eastAsia="zh-CN"/>
              </w:rPr>
              <w:t>开展了深度观察。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  <w:t>从宝鸡青铜器博物院的周秦文明回响，到西安博物院的数字文博革新，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再到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  <w:t>西安城墙千年城垣与现代城市的共生共荣，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eastAsia="zh-CN"/>
              </w:rPr>
              <w:t>该系列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  <w:t>作品以小切口映照大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主题，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  <w:t>以纪实影像传递文化温度，立体展现陕西在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文化“两创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  <w:t>中的生动实践，让文物可观可感可亲，让主题报道沁润人心。</w:t>
            </w:r>
          </w:p>
          <w:p w14:paraId="424C6FD9">
            <w:pPr>
              <w:spacing w:line="380" w:lineRule="exact"/>
              <w:rPr>
                <w:rFonts w:hint="eastAsia" w:ascii="仿宋" w:hAnsi="仿宋" w:eastAsia="仿宋" w:cstheme="minorEastAsia"/>
                <w:color w:val="auto"/>
                <w:sz w:val="28"/>
                <w:szCs w:val="28"/>
              </w:rPr>
            </w:pPr>
          </w:p>
          <w:p w14:paraId="31875D0E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349CC1F7">
            <w:pPr>
              <w:spacing w:line="360" w:lineRule="exact"/>
              <w:ind w:firstLine="4416" w:firstLineChars="16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0D0AED95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</w:t>
            </w: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2312"/>
                <w:color w:val="000000"/>
                <w:sz w:val="28"/>
              </w:rPr>
              <w:t xml:space="preserve">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</w:t>
            </w: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F63C3D5">
            <w:pPr>
              <w:spacing w:line="380" w:lineRule="exact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国家文物局2025年度“文物好新闻”推介作品</w:t>
            </w: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spacing w:line="380" w:lineRule="exact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曾祥敏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7A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中国传媒大学电视学院党委书记、教授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4E1CB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spacing w:line="380" w:lineRule="exact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王敏芝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4B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陕西师范大学新闻与传播学院副院长、教授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0D23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陶玉德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3BFF246F">
            <w:pPr>
              <w:spacing w:line="380" w:lineRule="exact"/>
              <w:ind w:firstLine="560" w:firstLineChars="200"/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eastAsia="zh-CN"/>
              </w:rPr>
              <w:t>《习声回响·文韵中国》深度融合习近平</w:t>
            </w:r>
            <w:r>
              <w:rPr>
                <w:rFonts w:hint="eastAsia" w:ascii="仿宋" w:hAnsi="仿宋" w:eastAsia="仿宋" w:cstheme="minorEastAsia"/>
                <w:color w:val="auto"/>
                <w:sz w:val="28"/>
                <w:szCs w:val="28"/>
                <w:lang w:val="en-US" w:eastAsia="zh-CN"/>
              </w:rPr>
              <w:t>文化思想与基层文博鲜活实践，创新探索以“轻表达”阐释“重理论”的融媒体传播路径，借助短视频、沉浸式体验等多元载体，有效打破文保专业议题与大众认知之间的壁垒，实现跨圈层、跨媒介的广泛共鸣。这既是对“让文物活起来”的生动记录，更是一次具有时代纵深感与专业穿透力的主题报道实践。</w:t>
            </w:r>
          </w:p>
          <w:p w14:paraId="381FE06D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5EFE330D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7BCED045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29B48078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2FB09A81">
      <w:pPr>
        <w:rPr>
          <w:rFonts w:hint="eastAsia" w:ascii="楷体" w:hAnsi="楷体" w:eastAsia="楷体"/>
          <w:color w:val="000000"/>
          <w:sz w:val="28"/>
          <w:szCs w:val="28"/>
        </w:rPr>
      </w:pPr>
    </w:p>
    <w:p w14:paraId="7DC3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作者（主创人员）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编辑</w:t>
      </w:r>
      <w:r>
        <w:rPr>
          <w:rFonts w:hint="eastAsia" w:ascii="黑体" w:hAnsi="黑体" w:eastAsia="黑体" w:cs="Times New Roman"/>
          <w:sz w:val="28"/>
          <w:szCs w:val="28"/>
        </w:rPr>
        <w:t>：</w:t>
      </w:r>
    </w:p>
    <w:p w14:paraId="1726E8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骆红秉</w:t>
      </w:r>
      <w:r>
        <w:rPr>
          <w:rFonts w:hint="eastAsia" w:ascii="仿宋" w:hAnsi="仿宋" w:eastAsia="仿宋" w:cs="仿宋"/>
          <w:sz w:val="28"/>
          <w:szCs w:val="28"/>
        </w:rPr>
        <w:t>、张军、于锋、伍刚、宫歆慧、蔡荣波、陶玉德、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卜叶、张伟、侯凯奇、刘昱、陈锵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478D6-E9BA-4467-8DFA-F3F605ADDA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37B5DE-187A-42AA-994A-F55080FBB3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2EEA01-B722-4E56-A399-4A0C6B4B06E2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4" w:fontKey="{54771332-1D10-4909-B364-978580419A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63C244F-27E0-416A-B70B-AB9A07AB16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E764D70-948A-4BE2-9CD4-4A313EA947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1DDBF15-1BB5-4CF2-A40B-94D29D889AB0}"/>
  </w:font>
  <w:font w:name="WPSEMBED2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616F4"/>
    <w:rsid w:val="0B954589"/>
    <w:rsid w:val="0E922085"/>
    <w:rsid w:val="0EBA5B1C"/>
    <w:rsid w:val="103E4A53"/>
    <w:rsid w:val="10663FDD"/>
    <w:rsid w:val="1096338A"/>
    <w:rsid w:val="10F13399"/>
    <w:rsid w:val="121C256F"/>
    <w:rsid w:val="12F72D3C"/>
    <w:rsid w:val="18591C19"/>
    <w:rsid w:val="1B5A22E0"/>
    <w:rsid w:val="236C7073"/>
    <w:rsid w:val="26C00873"/>
    <w:rsid w:val="291819B2"/>
    <w:rsid w:val="2D381443"/>
    <w:rsid w:val="30125257"/>
    <w:rsid w:val="307072AD"/>
    <w:rsid w:val="309D4424"/>
    <w:rsid w:val="3137084F"/>
    <w:rsid w:val="3176774E"/>
    <w:rsid w:val="33363900"/>
    <w:rsid w:val="37733392"/>
    <w:rsid w:val="39AE31FE"/>
    <w:rsid w:val="3C54110C"/>
    <w:rsid w:val="3DEF36CF"/>
    <w:rsid w:val="3E004607"/>
    <w:rsid w:val="3ECB5D1F"/>
    <w:rsid w:val="44667F45"/>
    <w:rsid w:val="452E7EFE"/>
    <w:rsid w:val="46BA76A3"/>
    <w:rsid w:val="46D9760C"/>
    <w:rsid w:val="477120CD"/>
    <w:rsid w:val="48257E01"/>
    <w:rsid w:val="4CA94913"/>
    <w:rsid w:val="4D696519"/>
    <w:rsid w:val="511E4384"/>
    <w:rsid w:val="52C5454F"/>
    <w:rsid w:val="57AF4BEA"/>
    <w:rsid w:val="58035CEC"/>
    <w:rsid w:val="594810D1"/>
    <w:rsid w:val="59F20252"/>
    <w:rsid w:val="5AA760B8"/>
    <w:rsid w:val="5B0C6DA2"/>
    <w:rsid w:val="5D250E1A"/>
    <w:rsid w:val="5E520B42"/>
    <w:rsid w:val="602C116A"/>
    <w:rsid w:val="65B94BDF"/>
    <w:rsid w:val="687231E8"/>
    <w:rsid w:val="69934C07"/>
    <w:rsid w:val="6BF11DDE"/>
    <w:rsid w:val="70CD2B43"/>
    <w:rsid w:val="73F26870"/>
    <w:rsid w:val="7A012D68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宋体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 w:cs="宋体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semiHidden/>
    <w:unhideWhenUsed/>
    <w:qFormat/>
    <w:uiPriority w:val="99"/>
    <w:pPr>
      <w:spacing w:after="0"/>
      <w:ind w:firstLine="420" w:firstLineChars="200"/>
    </w:pPr>
    <w:rPr>
      <w:rFonts w:ascii="Calibri" w:hAnsi="Calibri" w:eastAsia="宋体" w:cs="Times New Roman"/>
    </w:r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1423</Words>
  <Characters>1812</Characters>
  <Lines>0</Lines>
  <Paragraphs>0</Paragraphs>
  <TotalTime>2</TotalTime>
  <ScaleCrop>false</ScaleCrop>
  <LinksUpToDate>false</LinksUpToDate>
  <CharactersWithSpaces>1923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凯奇</cp:lastModifiedBy>
  <dcterms:modified xsi:type="dcterms:W3CDTF">2026-05-13T13:35:16Z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eyJoZGlkIjoiOTcwYzY0OGVjZjc5YTdlYWVlMDM3ODVlMzU0MzFkMjciLCJ1c2VySWQiOiIyNzUyODEwMzEifQ==</vt:lpwstr>
  </property>
  <property fmtid="{D5CDD505-2E9C-101B-9397-08002B2CF9AE}" pid="4" name="ICV">
    <vt:lpwstr>DAEF3985B14B4BA4AE0CC7BD7D6A03D4_13</vt:lpwstr>
  </property>
</Properties>
</file>